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CBCD" w14:textId="6BF2BB06" w:rsidR="0056778D" w:rsidRDefault="0056778D" w:rsidP="0056778D">
      <w:pPr>
        <w:jc w:val="center"/>
        <w:rPr>
          <w:b/>
          <w:color w:val="FF0000"/>
          <w:sz w:val="30"/>
          <w:szCs w:val="30"/>
        </w:rPr>
      </w:pPr>
      <w:r>
        <w:rPr>
          <w:b/>
          <w:color w:val="FF0000"/>
          <w:sz w:val="30"/>
          <w:szCs w:val="30"/>
        </w:rPr>
        <w:t>202</w:t>
      </w:r>
      <w:r w:rsidR="00D724E3">
        <w:rPr>
          <w:b/>
          <w:color w:val="FF0000"/>
          <w:sz w:val="30"/>
          <w:szCs w:val="30"/>
        </w:rPr>
        <w:t>5</w:t>
      </w:r>
      <w:r>
        <w:rPr>
          <w:b/>
          <w:color w:val="FF0000"/>
          <w:sz w:val="30"/>
          <w:szCs w:val="30"/>
        </w:rPr>
        <w:t xml:space="preserve"> </w:t>
      </w:r>
      <w:r>
        <w:rPr>
          <w:b/>
          <w:color w:val="FF0000"/>
          <w:sz w:val="30"/>
          <w:szCs w:val="30"/>
        </w:rPr>
        <w:tab/>
        <w:t>Tennis BC Junior Open – U16</w:t>
      </w:r>
    </w:p>
    <w:p w14:paraId="629268FD" w14:textId="77777777" w:rsidR="0056778D" w:rsidRDefault="0056778D" w:rsidP="0056778D">
      <w:pPr>
        <w:jc w:val="center"/>
        <w:rPr>
          <w:b/>
          <w:color w:val="FF0000"/>
          <w:sz w:val="30"/>
          <w:szCs w:val="30"/>
        </w:rPr>
      </w:pPr>
      <w:r>
        <w:rPr>
          <w:b/>
          <w:color w:val="FF0000"/>
          <w:sz w:val="30"/>
          <w:szCs w:val="30"/>
        </w:rPr>
        <w:t>FACT SHEET</w:t>
      </w:r>
    </w:p>
    <w:tbl>
      <w:tblPr>
        <w:tblW w:w="9540" w:type="dxa"/>
        <w:tblInd w:w="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30"/>
        <w:gridCol w:w="7110"/>
      </w:tblGrid>
      <w:tr w:rsidR="0056778D" w14:paraId="7909B99C" w14:textId="77777777" w:rsidTr="5C881D11">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292DF" w14:textId="77777777" w:rsidR="0056778D" w:rsidRDefault="0056778D">
            <w:pPr>
              <w:rPr>
                <w:b/>
                <w:sz w:val="20"/>
                <w:szCs w:val="20"/>
              </w:rPr>
            </w:pPr>
            <w:r>
              <w:rPr>
                <w:b/>
                <w:sz w:val="20"/>
                <w:szCs w:val="20"/>
              </w:rPr>
              <w:t>PURPOSE</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2523C" w14:textId="5EAD9110" w:rsidR="0056778D" w:rsidRDefault="0056778D">
            <w:pPr>
              <w:rPr>
                <w:sz w:val="20"/>
                <w:szCs w:val="20"/>
              </w:rPr>
            </w:pPr>
            <w:r>
              <w:rPr>
                <w:sz w:val="20"/>
                <w:szCs w:val="20"/>
              </w:rPr>
              <w:t xml:space="preserve">To provide a meaningful U16 competitive opportunities leading to the Junior Nationals. </w:t>
            </w:r>
          </w:p>
        </w:tc>
      </w:tr>
      <w:tr w:rsidR="0056778D" w14:paraId="44B3E3A2" w14:textId="77777777" w:rsidTr="5C881D11">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29282" w14:textId="77777777" w:rsidR="0056778D" w:rsidRDefault="0056778D">
            <w:pPr>
              <w:rPr>
                <w:b/>
                <w:sz w:val="20"/>
                <w:szCs w:val="20"/>
              </w:rPr>
            </w:pPr>
            <w:r>
              <w:rPr>
                <w:b/>
                <w:sz w:val="20"/>
                <w:szCs w:val="20"/>
              </w:rPr>
              <w:t>FISCHER JUNIOR NATIONALS ENTRY</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7BC69" w14:textId="60A25C46" w:rsidR="0056778D" w:rsidRDefault="0056778D" w:rsidP="0056778D">
            <w:pPr>
              <w:rPr>
                <w:sz w:val="20"/>
                <w:szCs w:val="20"/>
              </w:rPr>
            </w:pPr>
            <w:r w:rsidRPr="5C881D11">
              <w:rPr>
                <w:sz w:val="20"/>
                <w:szCs w:val="20"/>
              </w:rPr>
              <w:t xml:space="preserve">No direct entry to the Fischer Junior Nationals for U16 Tennis BC Junior Open </w:t>
            </w:r>
          </w:p>
        </w:tc>
      </w:tr>
      <w:tr w:rsidR="0056778D" w14:paraId="066EB38E" w14:textId="77777777" w:rsidTr="5C881D11">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08F60" w14:textId="77777777" w:rsidR="0056778D" w:rsidRDefault="0056778D">
            <w:pPr>
              <w:rPr>
                <w:b/>
                <w:sz w:val="20"/>
                <w:szCs w:val="20"/>
              </w:rPr>
            </w:pPr>
            <w:r>
              <w:rPr>
                <w:b/>
                <w:sz w:val="20"/>
                <w:szCs w:val="20"/>
              </w:rPr>
              <w:t>NATIONAL BANK RANKING POINTS</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069FC" w14:textId="19852DCB" w:rsidR="0056778D" w:rsidRDefault="0056778D">
            <w:pPr>
              <w:rPr>
                <w:sz w:val="20"/>
                <w:szCs w:val="20"/>
              </w:rPr>
            </w:pPr>
            <w:r>
              <w:rPr>
                <w:sz w:val="20"/>
                <w:szCs w:val="20"/>
              </w:rPr>
              <w:t xml:space="preserve">Points will be awarded at either the equivalent of the </w:t>
            </w:r>
            <w:proofErr w:type="gramStart"/>
            <w:r>
              <w:rPr>
                <w:sz w:val="20"/>
                <w:szCs w:val="20"/>
              </w:rPr>
              <w:t>quarter-finals</w:t>
            </w:r>
            <w:proofErr w:type="gramEnd"/>
            <w:r>
              <w:rPr>
                <w:sz w:val="20"/>
                <w:szCs w:val="20"/>
              </w:rPr>
              <w:t xml:space="preserve"> of Fischer Junior Nationals or 4-Star Events, whichever is higher. </w:t>
            </w:r>
          </w:p>
        </w:tc>
      </w:tr>
      <w:tr w:rsidR="0056778D" w14:paraId="4B7FFAB5" w14:textId="77777777" w:rsidTr="5C881D11">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AFB3E" w14:textId="2D95171A" w:rsidR="0056778D" w:rsidRDefault="0056778D">
            <w:pPr>
              <w:rPr>
                <w:b/>
                <w:sz w:val="20"/>
                <w:szCs w:val="20"/>
              </w:rPr>
            </w:pPr>
            <w:r>
              <w:rPr>
                <w:b/>
                <w:sz w:val="20"/>
                <w:szCs w:val="20"/>
              </w:rPr>
              <w:t>TBC Junior Open U16</w:t>
            </w:r>
          </w:p>
          <w:p w14:paraId="54B55D41" w14:textId="543B1B88" w:rsidR="0056778D" w:rsidRDefault="0056778D">
            <w:pPr>
              <w:rPr>
                <w:b/>
                <w:sz w:val="20"/>
                <w:szCs w:val="20"/>
              </w:rPr>
            </w:pPr>
            <w:r>
              <w:rPr>
                <w:noProof/>
              </w:rPr>
              <w:drawing>
                <wp:anchor distT="114300" distB="114300" distL="114300" distR="114300" simplePos="0" relativeHeight="251658240" behindDoc="0" locked="0" layoutInCell="1" allowOverlap="1" wp14:anchorId="7D7E094D" wp14:editId="73065015">
                  <wp:simplePos x="0" y="0"/>
                  <wp:positionH relativeFrom="column">
                    <wp:posOffset>357505</wp:posOffset>
                  </wp:positionH>
                  <wp:positionV relativeFrom="paragraph">
                    <wp:posOffset>129540</wp:posOffset>
                  </wp:positionV>
                  <wp:extent cx="624205" cy="624205"/>
                  <wp:effectExtent l="0" t="0" r="4445" b="4445"/>
                  <wp:wrapNone/>
                  <wp:docPr id="177500382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3826" name="Picture 1" descr="A blue and yellow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205" cy="624205"/>
                          </a:xfrm>
                          <a:prstGeom prst="rect">
                            <a:avLst/>
                          </a:prstGeom>
                          <a:noFill/>
                        </pic:spPr>
                      </pic:pic>
                    </a:graphicData>
                  </a:graphic>
                  <wp14:sizeRelH relativeFrom="page">
                    <wp14:pctWidth>0</wp14:pctWidth>
                  </wp14:sizeRelH>
                  <wp14:sizeRelV relativeFrom="page">
                    <wp14:pctHeight>0</wp14:pctHeight>
                  </wp14:sizeRelV>
                </wp:anchor>
              </w:drawing>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D1C61" w14:textId="3BB12A2E" w:rsidR="00F95910" w:rsidRDefault="0056778D">
            <w:pPr>
              <w:rPr>
                <w:b/>
                <w:color w:val="0070C0"/>
                <w:sz w:val="20"/>
                <w:szCs w:val="20"/>
              </w:rPr>
            </w:pPr>
            <w:r>
              <w:rPr>
                <w:b/>
                <w:color w:val="0070C0"/>
                <w:sz w:val="20"/>
                <w:szCs w:val="20"/>
              </w:rPr>
              <w:t>July 1</w:t>
            </w:r>
            <w:r w:rsidR="00FE5FC6">
              <w:rPr>
                <w:b/>
                <w:color w:val="0070C0"/>
                <w:sz w:val="20"/>
                <w:szCs w:val="20"/>
              </w:rPr>
              <w:t>3</w:t>
            </w:r>
            <w:r>
              <w:rPr>
                <w:b/>
                <w:color w:val="0070C0"/>
                <w:sz w:val="20"/>
                <w:szCs w:val="20"/>
              </w:rPr>
              <w:t>-</w:t>
            </w:r>
            <w:r w:rsidR="00093566">
              <w:rPr>
                <w:b/>
                <w:color w:val="0070C0"/>
                <w:sz w:val="20"/>
                <w:szCs w:val="20"/>
              </w:rPr>
              <w:t>1</w:t>
            </w:r>
            <w:r w:rsidR="00FE5FC6">
              <w:rPr>
                <w:b/>
                <w:color w:val="0070C0"/>
                <w:sz w:val="20"/>
                <w:szCs w:val="20"/>
              </w:rPr>
              <w:t>7</w:t>
            </w:r>
            <w:r>
              <w:rPr>
                <w:b/>
                <w:color w:val="0070C0"/>
                <w:sz w:val="20"/>
                <w:szCs w:val="20"/>
              </w:rPr>
              <w:t>, 202</w:t>
            </w:r>
            <w:r w:rsidR="00FE5FC6">
              <w:rPr>
                <w:b/>
                <w:color w:val="0070C0"/>
                <w:sz w:val="20"/>
                <w:szCs w:val="20"/>
              </w:rPr>
              <w:t>6</w:t>
            </w:r>
          </w:p>
          <w:p w14:paraId="79F6D554" w14:textId="66DAADDF" w:rsidR="0056778D" w:rsidRPr="00F95910" w:rsidRDefault="0056778D">
            <w:pPr>
              <w:rPr>
                <w:b/>
                <w:color w:val="0070C0"/>
                <w:sz w:val="20"/>
                <w:szCs w:val="20"/>
              </w:rPr>
            </w:pPr>
            <w:r>
              <w:rPr>
                <w:b/>
                <w:sz w:val="20"/>
                <w:szCs w:val="20"/>
              </w:rPr>
              <w:t>Stanley Park Open</w:t>
            </w:r>
            <w:r w:rsidR="00F95910">
              <w:rPr>
                <w:b/>
                <w:color w:val="0070C0"/>
                <w:sz w:val="20"/>
                <w:szCs w:val="20"/>
              </w:rPr>
              <w:t xml:space="preserve"> - </w:t>
            </w:r>
            <w:r>
              <w:rPr>
                <w:sz w:val="20"/>
                <w:szCs w:val="20"/>
              </w:rPr>
              <w:t>Stanley Park, Vancouver, BC</w:t>
            </w:r>
          </w:p>
          <w:p w14:paraId="0D62EDD5" w14:textId="0D753A63" w:rsidR="0056778D" w:rsidRDefault="0056778D">
            <w:pPr>
              <w:rPr>
                <w:sz w:val="20"/>
                <w:szCs w:val="20"/>
              </w:rPr>
            </w:pPr>
            <w:r>
              <w:rPr>
                <w:sz w:val="20"/>
                <w:szCs w:val="20"/>
              </w:rPr>
              <w:t>U16</w:t>
            </w:r>
          </w:p>
          <w:p w14:paraId="274AB0AA" w14:textId="52DFD08E" w:rsidR="0056778D" w:rsidRDefault="0056778D" w:rsidP="00D80A04">
            <w:pPr>
              <w:numPr>
                <w:ilvl w:val="0"/>
                <w:numId w:val="1"/>
              </w:numPr>
              <w:spacing w:after="0" w:line="240" w:lineRule="auto"/>
              <w:rPr>
                <w:sz w:val="20"/>
                <w:szCs w:val="20"/>
              </w:rPr>
            </w:pPr>
            <w:r w:rsidRPr="5C881D11">
              <w:rPr>
                <w:sz w:val="20"/>
                <w:szCs w:val="20"/>
              </w:rPr>
              <w:t xml:space="preserve">Singles &amp; doubles, no consolation. Must register for singles </w:t>
            </w:r>
            <w:proofErr w:type="gramStart"/>
            <w:r w:rsidRPr="5C881D11">
              <w:rPr>
                <w:sz w:val="20"/>
                <w:szCs w:val="20"/>
              </w:rPr>
              <w:t>in order to</w:t>
            </w:r>
            <w:proofErr w:type="gramEnd"/>
            <w:r w:rsidRPr="5C881D11">
              <w:rPr>
                <w:sz w:val="20"/>
                <w:szCs w:val="20"/>
              </w:rPr>
              <w:t xml:space="preserve"> play doubles. </w:t>
            </w:r>
            <w:r w:rsidR="37E4721B" w:rsidRPr="5C881D11">
              <w:rPr>
                <w:sz w:val="20"/>
                <w:szCs w:val="20"/>
              </w:rPr>
              <w:t>Double is Optional</w:t>
            </w:r>
            <w:r w:rsidR="7C6BBB8E" w:rsidRPr="5C881D11">
              <w:rPr>
                <w:sz w:val="20"/>
                <w:szCs w:val="20"/>
              </w:rPr>
              <w:t xml:space="preserve">. </w:t>
            </w:r>
          </w:p>
          <w:p w14:paraId="77682AA5" w14:textId="77777777" w:rsidR="0056778D" w:rsidRDefault="0056778D" w:rsidP="00D80A04">
            <w:pPr>
              <w:numPr>
                <w:ilvl w:val="0"/>
                <w:numId w:val="1"/>
              </w:numPr>
              <w:spacing w:after="0" w:line="240" w:lineRule="auto"/>
              <w:rPr>
                <w:sz w:val="20"/>
                <w:szCs w:val="20"/>
              </w:rPr>
            </w:pPr>
            <w:r>
              <w:rPr>
                <w:sz w:val="20"/>
                <w:szCs w:val="20"/>
              </w:rPr>
              <w:t>Hard courts</w:t>
            </w:r>
          </w:p>
          <w:p w14:paraId="7238E151" w14:textId="3BCD7FCC" w:rsidR="0056778D" w:rsidRDefault="0056778D" w:rsidP="00D80A04">
            <w:pPr>
              <w:numPr>
                <w:ilvl w:val="0"/>
                <w:numId w:val="1"/>
              </w:numPr>
              <w:spacing w:after="0" w:line="240" w:lineRule="auto"/>
              <w:rPr>
                <w:sz w:val="20"/>
                <w:szCs w:val="20"/>
              </w:rPr>
            </w:pPr>
            <w:r w:rsidRPr="5C881D11">
              <w:rPr>
                <w:sz w:val="20"/>
                <w:szCs w:val="20"/>
              </w:rPr>
              <w:t>Entry fee: $1</w:t>
            </w:r>
            <w:r w:rsidR="00D724E3">
              <w:rPr>
                <w:sz w:val="20"/>
                <w:szCs w:val="20"/>
              </w:rPr>
              <w:t>2</w:t>
            </w:r>
            <w:r w:rsidRPr="5C881D11">
              <w:rPr>
                <w:sz w:val="20"/>
                <w:szCs w:val="20"/>
              </w:rPr>
              <w:t>0 (</w:t>
            </w:r>
            <w:r w:rsidR="316DFAA2" w:rsidRPr="5C881D11">
              <w:rPr>
                <w:sz w:val="20"/>
                <w:szCs w:val="20"/>
              </w:rPr>
              <w:t xml:space="preserve">Up to </w:t>
            </w:r>
            <w:r w:rsidRPr="5C881D11">
              <w:rPr>
                <w:sz w:val="20"/>
                <w:szCs w:val="20"/>
              </w:rPr>
              <w:t>two events)</w:t>
            </w:r>
          </w:p>
          <w:p w14:paraId="0B28D77E" w14:textId="77777777" w:rsidR="0056778D" w:rsidRDefault="0056778D" w:rsidP="00D80A04">
            <w:pPr>
              <w:numPr>
                <w:ilvl w:val="0"/>
                <w:numId w:val="1"/>
              </w:numPr>
              <w:spacing w:after="0" w:line="240" w:lineRule="auto"/>
              <w:rPr>
                <w:sz w:val="20"/>
                <w:szCs w:val="20"/>
              </w:rPr>
            </w:pPr>
            <w:r>
              <w:rPr>
                <w:sz w:val="20"/>
                <w:szCs w:val="20"/>
              </w:rPr>
              <w:t xml:space="preserve">National Bank ranking points: equivalent to </w:t>
            </w:r>
            <w:proofErr w:type="gramStart"/>
            <w:r>
              <w:rPr>
                <w:sz w:val="20"/>
                <w:szCs w:val="20"/>
              </w:rPr>
              <w:t>quarter-finals</w:t>
            </w:r>
            <w:proofErr w:type="gramEnd"/>
            <w:r>
              <w:rPr>
                <w:sz w:val="20"/>
                <w:szCs w:val="20"/>
              </w:rPr>
              <w:t xml:space="preserve"> of Junior Nationals.</w:t>
            </w:r>
          </w:p>
          <w:p w14:paraId="7657317E" w14:textId="01CC6129" w:rsidR="0056778D" w:rsidRDefault="0056778D" w:rsidP="00F95910">
            <w:pPr>
              <w:numPr>
                <w:ilvl w:val="0"/>
                <w:numId w:val="1"/>
              </w:numPr>
              <w:spacing w:after="0" w:line="240" w:lineRule="auto"/>
              <w:rPr>
                <w:sz w:val="20"/>
                <w:szCs w:val="20"/>
              </w:rPr>
            </w:pPr>
            <w:r>
              <w:rPr>
                <w:sz w:val="20"/>
                <w:szCs w:val="20"/>
              </w:rPr>
              <w:t>Entry deadline: June 2</w:t>
            </w:r>
            <w:r w:rsidR="00FE5FC6">
              <w:rPr>
                <w:sz w:val="20"/>
                <w:szCs w:val="20"/>
              </w:rPr>
              <w:t>6</w:t>
            </w:r>
            <w:r>
              <w:rPr>
                <w:sz w:val="20"/>
                <w:szCs w:val="20"/>
              </w:rPr>
              <w:t>, 202</w:t>
            </w:r>
            <w:r w:rsidR="00FE5FC6">
              <w:rPr>
                <w:sz w:val="20"/>
                <w:szCs w:val="20"/>
              </w:rPr>
              <w:t>6</w:t>
            </w:r>
          </w:p>
          <w:p w14:paraId="2401F1C2" w14:textId="77777777" w:rsidR="00F95910" w:rsidRPr="00F95910" w:rsidRDefault="00F95910" w:rsidP="00F95910">
            <w:pPr>
              <w:numPr>
                <w:ilvl w:val="0"/>
                <w:numId w:val="1"/>
              </w:numPr>
              <w:spacing w:after="0" w:line="240" w:lineRule="auto"/>
              <w:rPr>
                <w:sz w:val="20"/>
                <w:szCs w:val="20"/>
              </w:rPr>
            </w:pPr>
          </w:p>
          <w:p w14:paraId="065A2667" w14:textId="54D4D77E" w:rsidR="0056778D" w:rsidRPr="00A5008D" w:rsidRDefault="0056778D">
            <w:pPr>
              <w:rPr>
                <w:color w:val="0563C1" w:themeColor="hyperlink"/>
                <w:u w:val="single"/>
              </w:rPr>
            </w:pPr>
            <w:hyperlink r:id="rId6" w:history="1">
              <w:r>
                <w:rPr>
                  <w:rStyle w:val="Hyperlink"/>
                  <w:sz w:val="20"/>
                  <w:szCs w:val="20"/>
                </w:rPr>
                <w:t>REGISTRATION &amp; INFORMATION</w:t>
              </w:r>
            </w:hyperlink>
          </w:p>
        </w:tc>
      </w:tr>
      <w:tr w:rsidR="0056778D" w14:paraId="292251FF" w14:textId="77777777" w:rsidTr="5C881D11">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7C1E1ED" w14:textId="77777777" w:rsidR="0056778D" w:rsidRDefault="0056778D">
            <w:pPr>
              <w:rPr>
                <w:b/>
                <w:sz w:val="20"/>
                <w:szCs w:val="20"/>
              </w:rPr>
            </w:pPr>
            <w:r>
              <w:rPr>
                <w:b/>
                <w:sz w:val="20"/>
                <w:szCs w:val="20"/>
              </w:rPr>
              <w:t>ELIGIBILITY</w:t>
            </w:r>
          </w:p>
        </w:tc>
        <w:tc>
          <w:tcPr>
            <w:tcW w:w="7110" w:type="dxa"/>
            <w:tcBorders>
              <w:top w:val="single" w:sz="8" w:space="0" w:color="000000" w:themeColor="text1"/>
              <w:left w:val="nil"/>
              <w:bottom w:val="single" w:sz="8" w:space="0" w:color="000000" w:themeColor="text1"/>
              <w:right w:val="single" w:sz="8" w:space="0" w:color="000000" w:themeColor="text1"/>
            </w:tcBorders>
          </w:tcPr>
          <w:p w14:paraId="3CABE2A3" w14:textId="0AA8DD50" w:rsidR="0056778D" w:rsidRDefault="0056778D">
            <w:pPr>
              <w:rPr>
                <w:sz w:val="20"/>
                <w:szCs w:val="20"/>
              </w:rPr>
            </w:pPr>
            <w:r>
              <w:rPr>
                <w:sz w:val="20"/>
                <w:szCs w:val="20"/>
              </w:rPr>
              <w:t xml:space="preserve">This event is open to all juniors aged under </w:t>
            </w:r>
            <w:r w:rsidR="00A5008D">
              <w:rPr>
                <w:sz w:val="20"/>
                <w:szCs w:val="20"/>
              </w:rPr>
              <w:t>16</w:t>
            </w:r>
            <w:r>
              <w:rPr>
                <w:sz w:val="20"/>
                <w:szCs w:val="20"/>
              </w:rPr>
              <w:t xml:space="preserve">. </w:t>
            </w:r>
            <w:r w:rsidR="00A5008D">
              <w:rPr>
                <w:sz w:val="20"/>
                <w:szCs w:val="20"/>
              </w:rPr>
              <w:t>The</w:t>
            </w:r>
            <w:r>
              <w:rPr>
                <w:sz w:val="20"/>
                <w:szCs w:val="20"/>
              </w:rPr>
              <w:t xml:space="preserve"> tournament will award ranking points.</w:t>
            </w:r>
          </w:p>
        </w:tc>
      </w:tr>
      <w:tr w:rsidR="0056778D" w14:paraId="0F4B181F" w14:textId="77777777" w:rsidTr="5C881D11">
        <w:tc>
          <w:tcPr>
            <w:tcW w:w="2430" w:type="dxa"/>
            <w:tcBorders>
              <w:top w:val="nil"/>
              <w:left w:val="single" w:sz="8" w:space="0" w:color="000000" w:themeColor="text1"/>
              <w:bottom w:val="nil"/>
              <w:right w:val="single" w:sz="8" w:space="0" w:color="000000" w:themeColor="text1"/>
            </w:tcBorders>
            <w:hideMark/>
          </w:tcPr>
          <w:p w14:paraId="24B061C1" w14:textId="77777777" w:rsidR="0056778D" w:rsidRDefault="0056778D">
            <w:pPr>
              <w:rPr>
                <w:b/>
                <w:sz w:val="20"/>
                <w:szCs w:val="20"/>
              </w:rPr>
            </w:pPr>
            <w:r>
              <w:rPr>
                <w:b/>
                <w:sz w:val="20"/>
                <w:szCs w:val="20"/>
              </w:rPr>
              <w:t>ENTRY PROCEDURES</w:t>
            </w:r>
          </w:p>
        </w:tc>
        <w:tc>
          <w:tcPr>
            <w:tcW w:w="7110" w:type="dxa"/>
            <w:tcBorders>
              <w:top w:val="nil"/>
              <w:left w:val="nil"/>
              <w:bottom w:val="nil"/>
              <w:right w:val="single" w:sz="8" w:space="0" w:color="000000" w:themeColor="text1"/>
            </w:tcBorders>
            <w:hideMark/>
          </w:tcPr>
          <w:p w14:paraId="1DA2F2D8" w14:textId="57D0C40B" w:rsidR="0056778D" w:rsidRDefault="0056778D">
            <w:pPr>
              <w:rPr>
                <w:sz w:val="20"/>
                <w:szCs w:val="20"/>
              </w:rPr>
            </w:pPr>
            <w:r>
              <w:rPr>
                <w:sz w:val="20"/>
                <w:szCs w:val="20"/>
              </w:rPr>
              <w:t xml:space="preserve">Entries are to be made through Tennis BC, at the links provided above indicated </w:t>
            </w:r>
            <w:hyperlink r:id="rId7" w:history="1">
              <w:r w:rsidRPr="00F95910">
                <w:rPr>
                  <w:rStyle w:val="Hyperlink"/>
                  <w:i/>
                  <w:sz w:val="20"/>
                  <w:szCs w:val="20"/>
                </w:rPr>
                <w:t>Registration &amp; Information</w:t>
              </w:r>
            </w:hyperlink>
          </w:p>
        </w:tc>
      </w:tr>
      <w:tr w:rsidR="0056778D" w14:paraId="10050392" w14:textId="77777777" w:rsidTr="5C881D11">
        <w:tc>
          <w:tcPr>
            <w:tcW w:w="2430" w:type="dxa"/>
            <w:tcBorders>
              <w:top w:val="nil"/>
              <w:left w:val="single" w:sz="8" w:space="0" w:color="000000" w:themeColor="text1"/>
              <w:bottom w:val="single" w:sz="8" w:space="0" w:color="000000" w:themeColor="text1"/>
              <w:right w:val="single" w:sz="8" w:space="0" w:color="000000" w:themeColor="text1"/>
            </w:tcBorders>
          </w:tcPr>
          <w:p w14:paraId="4EE913F5" w14:textId="77777777" w:rsidR="0056778D" w:rsidRDefault="0056778D">
            <w:pPr>
              <w:rPr>
                <w:b/>
                <w:sz w:val="20"/>
                <w:szCs w:val="20"/>
              </w:rPr>
            </w:pPr>
          </w:p>
        </w:tc>
        <w:tc>
          <w:tcPr>
            <w:tcW w:w="7110" w:type="dxa"/>
            <w:tcBorders>
              <w:top w:val="nil"/>
              <w:left w:val="nil"/>
              <w:bottom w:val="single" w:sz="8" w:space="0" w:color="000000" w:themeColor="text1"/>
              <w:right w:val="single" w:sz="8" w:space="0" w:color="000000" w:themeColor="text1"/>
            </w:tcBorders>
          </w:tcPr>
          <w:p w14:paraId="5EAF8EC5" w14:textId="77777777" w:rsidR="0056778D" w:rsidRDefault="0056778D">
            <w:pPr>
              <w:rPr>
                <w:b/>
                <w:sz w:val="20"/>
                <w:szCs w:val="20"/>
              </w:rPr>
            </w:pPr>
          </w:p>
        </w:tc>
      </w:tr>
      <w:tr w:rsidR="0056778D" w14:paraId="38DC8158" w14:textId="77777777" w:rsidTr="5C881D11">
        <w:tc>
          <w:tcPr>
            <w:tcW w:w="2430" w:type="dxa"/>
            <w:tcBorders>
              <w:top w:val="nil"/>
              <w:left w:val="single" w:sz="8" w:space="0" w:color="000000" w:themeColor="text1"/>
              <w:bottom w:val="single" w:sz="8" w:space="0" w:color="000000" w:themeColor="text1"/>
              <w:right w:val="single" w:sz="8" w:space="0" w:color="000000" w:themeColor="text1"/>
            </w:tcBorders>
            <w:hideMark/>
          </w:tcPr>
          <w:p w14:paraId="2B66B003" w14:textId="77777777" w:rsidR="0056778D" w:rsidRDefault="0056778D">
            <w:pPr>
              <w:rPr>
                <w:b/>
                <w:sz w:val="20"/>
                <w:szCs w:val="20"/>
              </w:rPr>
            </w:pPr>
            <w:r>
              <w:rPr>
                <w:b/>
                <w:sz w:val="20"/>
                <w:szCs w:val="20"/>
              </w:rPr>
              <w:t>ACCEPTANCE PROCESS</w:t>
            </w:r>
          </w:p>
        </w:tc>
        <w:tc>
          <w:tcPr>
            <w:tcW w:w="7110" w:type="dxa"/>
            <w:tcBorders>
              <w:top w:val="nil"/>
              <w:left w:val="nil"/>
              <w:bottom w:val="single" w:sz="8" w:space="0" w:color="000000" w:themeColor="text1"/>
              <w:right w:val="single" w:sz="8" w:space="0" w:color="000000" w:themeColor="text1"/>
            </w:tcBorders>
          </w:tcPr>
          <w:p w14:paraId="1A0E7CF5" w14:textId="156B8D41" w:rsidR="0056778D" w:rsidRDefault="0056778D" w:rsidP="00A5008D">
            <w:pPr>
              <w:rPr>
                <w:i/>
                <w:sz w:val="20"/>
                <w:szCs w:val="20"/>
              </w:rPr>
            </w:pPr>
            <w:r>
              <w:rPr>
                <w:sz w:val="20"/>
                <w:szCs w:val="20"/>
              </w:rPr>
              <w:t xml:space="preserve">Draw size are limited to </w:t>
            </w:r>
            <w:r w:rsidR="00FE5FC6">
              <w:rPr>
                <w:b/>
                <w:bCs/>
                <w:sz w:val="20"/>
                <w:szCs w:val="20"/>
              </w:rPr>
              <w:t xml:space="preserve">48 for </w:t>
            </w:r>
            <w:r w:rsidR="00684AAD">
              <w:rPr>
                <w:b/>
                <w:bCs/>
                <w:sz w:val="20"/>
                <w:szCs w:val="20"/>
              </w:rPr>
              <w:t xml:space="preserve">U16 </w:t>
            </w:r>
            <w:r w:rsidR="00FE5FC6">
              <w:rPr>
                <w:b/>
                <w:bCs/>
                <w:sz w:val="20"/>
                <w:szCs w:val="20"/>
              </w:rPr>
              <w:t xml:space="preserve">boys and 32 for </w:t>
            </w:r>
            <w:r w:rsidR="00684AAD">
              <w:rPr>
                <w:b/>
                <w:bCs/>
                <w:sz w:val="20"/>
                <w:szCs w:val="20"/>
              </w:rPr>
              <w:t xml:space="preserve">U16 </w:t>
            </w:r>
            <w:r w:rsidR="00FE5FC6">
              <w:rPr>
                <w:b/>
                <w:bCs/>
                <w:sz w:val="20"/>
                <w:szCs w:val="20"/>
              </w:rPr>
              <w:t>girls</w:t>
            </w:r>
            <w:r>
              <w:rPr>
                <w:sz w:val="20"/>
                <w:szCs w:val="20"/>
              </w:rPr>
              <w:t xml:space="preserve">. </w:t>
            </w:r>
          </w:p>
        </w:tc>
      </w:tr>
      <w:tr w:rsidR="0056778D" w14:paraId="2A99AD25" w14:textId="77777777" w:rsidTr="5C881D11">
        <w:tc>
          <w:tcPr>
            <w:tcW w:w="2430" w:type="dxa"/>
            <w:tcBorders>
              <w:top w:val="nil"/>
              <w:left w:val="single" w:sz="8" w:space="0" w:color="000000" w:themeColor="text1"/>
              <w:bottom w:val="nil"/>
              <w:right w:val="single" w:sz="8" w:space="0" w:color="000000" w:themeColor="text1"/>
            </w:tcBorders>
            <w:hideMark/>
          </w:tcPr>
          <w:p w14:paraId="7E5AEB9A" w14:textId="77777777" w:rsidR="0056778D" w:rsidRDefault="0056778D">
            <w:pPr>
              <w:rPr>
                <w:b/>
                <w:sz w:val="20"/>
                <w:szCs w:val="20"/>
              </w:rPr>
            </w:pPr>
            <w:r>
              <w:rPr>
                <w:b/>
                <w:sz w:val="20"/>
                <w:szCs w:val="20"/>
              </w:rPr>
              <w:t>FORMAT</w:t>
            </w:r>
          </w:p>
        </w:tc>
        <w:tc>
          <w:tcPr>
            <w:tcW w:w="7110" w:type="dxa"/>
            <w:tcBorders>
              <w:top w:val="nil"/>
              <w:left w:val="nil"/>
              <w:bottom w:val="nil"/>
              <w:right w:val="single" w:sz="8" w:space="0" w:color="000000" w:themeColor="text1"/>
            </w:tcBorders>
            <w:hideMark/>
          </w:tcPr>
          <w:p w14:paraId="010D5C99" w14:textId="77777777" w:rsidR="0056778D" w:rsidRDefault="0056778D">
            <w:pPr>
              <w:rPr>
                <w:b/>
                <w:sz w:val="20"/>
                <w:szCs w:val="20"/>
              </w:rPr>
            </w:pPr>
            <w:r>
              <w:rPr>
                <w:b/>
                <w:sz w:val="20"/>
                <w:szCs w:val="20"/>
              </w:rPr>
              <w:t>BC (Stanley Park Open)</w:t>
            </w:r>
          </w:p>
          <w:p w14:paraId="78A6118D" w14:textId="77777777" w:rsidR="0056778D" w:rsidRDefault="0056778D" w:rsidP="00D80A04">
            <w:pPr>
              <w:numPr>
                <w:ilvl w:val="0"/>
                <w:numId w:val="2"/>
              </w:numPr>
              <w:spacing w:after="0"/>
              <w:rPr>
                <w:sz w:val="20"/>
                <w:szCs w:val="20"/>
              </w:rPr>
            </w:pPr>
            <w:r>
              <w:rPr>
                <w:sz w:val="20"/>
                <w:szCs w:val="20"/>
              </w:rPr>
              <w:t>Singles draw, with 3</w:t>
            </w:r>
            <w:r>
              <w:rPr>
                <w:sz w:val="20"/>
                <w:szCs w:val="20"/>
                <w:vertAlign w:val="superscript"/>
              </w:rPr>
              <w:t>rd</w:t>
            </w:r>
            <w:r>
              <w:rPr>
                <w:sz w:val="20"/>
                <w:szCs w:val="20"/>
              </w:rPr>
              <w:t>/4</w:t>
            </w:r>
            <w:r>
              <w:rPr>
                <w:sz w:val="20"/>
                <w:szCs w:val="20"/>
                <w:vertAlign w:val="superscript"/>
              </w:rPr>
              <w:t>th</w:t>
            </w:r>
            <w:r>
              <w:rPr>
                <w:sz w:val="20"/>
                <w:szCs w:val="20"/>
              </w:rPr>
              <w:t xml:space="preserve"> place play-off matches. There is no consolation for singles play. </w:t>
            </w:r>
          </w:p>
          <w:p w14:paraId="3579509B" w14:textId="77777777" w:rsidR="0056778D" w:rsidRDefault="0056778D" w:rsidP="00F95910">
            <w:pPr>
              <w:numPr>
                <w:ilvl w:val="0"/>
                <w:numId w:val="2"/>
              </w:numPr>
              <w:spacing w:after="0"/>
              <w:rPr>
                <w:sz w:val="20"/>
                <w:szCs w:val="20"/>
              </w:rPr>
            </w:pPr>
            <w:r>
              <w:rPr>
                <w:sz w:val="20"/>
                <w:szCs w:val="20"/>
              </w:rPr>
              <w:t xml:space="preserve">Matches will be the best of 3 tie-break sets and regular scoring. </w:t>
            </w:r>
          </w:p>
          <w:p w14:paraId="098ABDA2" w14:textId="0A161192" w:rsidR="00F95910" w:rsidRPr="00F95910" w:rsidRDefault="00F95910" w:rsidP="00F95910">
            <w:pPr>
              <w:numPr>
                <w:ilvl w:val="0"/>
                <w:numId w:val="2"/>
              </w:numPr>
              <w:spacing w:after="0"/>
              <w:rPr>
                <w:sz w:val="20"/>
                <w:szCs w:val="20"/>
              </w:rPr>
            </w:pPr>
            <w:r w:rsidRPr="00E47233">
              <w:rPr>
                <w:sz w:val="20"/>
                <w:szCs w:val="20"/>
              </w:rPr>
              <w:t>Doubles matches are played as a best-of-three sets, with each set consisting of four games, and a tiebreaker at 3-3, using "no-ad" scoring where the next point wins at deuce. </w:t>
            </w:r>
            <w:r>
              <w:rPr>
                <w:sz w:val="20"/>
                <w:szCs w:val="20"/>
              </w:rPr>
              <w:t xml:space="preserve">A </w:t>
            </w:r>
            <w:r w:rsidRPr="00E47233">
              <w:rPr>
                <w:sz w:val="20"/>
                <w:szCs w:val="20"/>
              </w:rPr>
              <w:t>10-point match tie break</w:t>
            </w:r>
            <w:r>
              <w:rPr>
                <w:sz w:val="20"/>
                <w:szCs w:val="20"/>
              </w:rPr>
              <w:t>er</w:t>
            </w:r>
            <w:r w:rsidRPr="00E47233">
              <w:rPr>
                <w:sz w:val="20"/>
                <w:szCs w:val="20"/>
              </w:rPr>
              <w:t xml:space="preserve"> will be played for the third set.</w:t>
            </w:r>
          </w:p>
        </w:tc>
      </w:tr>
      <w:tr w:rsidR="00A5008D" w14:paraId="711016CD" w14:textId="77777777" w:rsidTr="5C881D11">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42E3E" w14:textId="0FB3FEEF" w:rsidR="00A5008D" w:rsidRDefault="00A5008D">
            <w:pPr>
              <w:rPr>
                <w:b/>
                <w:sz w:val="20"/>
                <w:szCs w:val="20"/>
              </w:rPr>
            </w:pPr>
            <w:r>
              <w:rPr>
                <w:b/>
                <w:sz w:val="20"/>
                <w:szCs w:val="20"/>
              </w:rPr>
              <w:t>RULES OF THE COURT</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EFD82" w14:textId="16FC497D" w:rsidR="00A5008D" w:rsidRDefault="00A5008D">
            <w:pPr>
              <w:rPr>
                <w:sz w:val="20"/>
                <w:szCs w:val="20"/>
              </w:rPr>
            </w:pPr>
            <w:r>
              <w:rPr>
                <w:sz w:val="20"/>
                <w:szCs w:val="20"/>
              </w:rPr>
              <w:t xml:space="preserve">All events are run using the </w:t>
            </w:r>
            <w:hyperlink r:id="rId8" w:history="1">
              <w:r>
                <w:rPr>
                  <w:rStyle w:val="Hyperlink"/>
                  <w:color w:val="1155CC"/>
                  <w:sz w:val="20"/>
                  <w:szCs w:val="20"/>
                </w:rPr>
                <w:t>Tennis Canada Rules of the Court</w:t>
              </w:r>
            </w:hyperlink>
            <w:r>
              <w:rPr>
                <w:sz w:val="20"/>
                <w:szCs w:val="20"/>
              </w:rPr>
              <w:t xml:space="preserve">. </w:t>
            </w:r>
          </w:p>
        </w:tc>
      </w:tr>
      <w:tr w:rsidR="00A5008D" w14:paraId="2583D002" w14:textId="77777777" w:rsidTr="5C881D11">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7A79E" w14:textId="1D676636" w:rsidR="00A5008D" w:rsidRDefault="00A5008D">
            <w:pPr>
              <w:rPr>
                <w:b/>
                <w:sz w:val="20"/>
                <w:szCs w:val="20"/>
              </w:rPr>
            </w:pPr>
            <w:r>
              <w:rPr>
                <w:b/>
                <w:sz w:val="20"/>
                <w:szCs w:val="20"/>
              </w:rPr>
              <w:lastRenderedPageBreak/>
              <w:t>SEEDING</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04F6C" w14:textId="65669772" w:rsidR="00A5008D" w:rsidRDefault="00A5008D">
            <w:pPr>
              <w:rPr>
                <w:sz w:val="20"/>
                <w:szCs w:val="20"/>
              </w:rPr>
            </w:pPr>
            <w:r>
              <w:rPr>
                <w:sz w:val="20"/>
                <w:szCs w:val="20"/>
              </w:rPr>
              <w:t>Seeding for all events will be based on the latest National Bank Rankings as of the Tuesday before the draw date.</w:t>
            </w:r>
          </w:p>
        </w:tc>
      </w:tr>
      <w:tr w:rsidR="00A5008D" w14:paraId="7BD89790" w14:textId="77777777" w:rsidTr="5C881D11">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F943F" w14:textId="18BF626B" w:rsidR="00A5008D" w:rsidRDefault="00A5008D">
            <w:pPr>
              <w:rPr>
                <w:b/>
                <w:sz w:val="20"/>
                <w:szCs w:val="20"/>
              </w:rPr>
            </w:pPr>
            <w:r>
              <w:rPr>
                <w:b/>
                <w:sz w:val="20"/>
                <w:szCs w:val="20"/>
              </w:rPr>
              <w:t>OFFICIALS</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93B88" w14:textId="77777777" w:rsidR="00A5008D" w:rsidRDefault="00A5008D">
            <w:pPr>
              <w:rPr>
                <w:sz w:val="20"/>
                <w:szCs w:val="20"/>
              </w:rPr>
            </w:pPr>
            <w:r>
              <w:rPr>
                <w:sz w:val="20"/>
                <w:szCs w:val="20"/>
              </w:rPr>
              <w:t>Tennis Canada certified Referees, Roving and Chair umpires will be at each tournament. The draw will be conducted by the Tournament Referee.</w:t>
            </w:r>
          </w:p>
          <w:p w14:paraId="3FE97FCC" w14:textId="012F5C6C" w:rsidR="00A5008D" w:rsidRDefault="00A5008D">
            <w:pPr>
              <w:rPr>
                <w:sz w:val="20"/>
                <w:szCs w:val="20"/>
              </w:rPr>
            </w:pPr>
          </w:p>
        </w:tc>
      </w:tr>
      <w:tr w:rsidR="00A5008D" w14:paraId="16278E1A" w14:textId="77777777" w:rsidTr="5C881D11">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B6314" w14:textId="3A0FDF44" w:rsidR="00A5008D" w:rsidRDefault="00A5008D">
            <w:pPr>
              <w:rPr>
                <w:b/>
                <w:sz w:val="20"/>
                <w:szCs w:val="20"/>
              </w:rPr>
            </w:pPr>
            <w:r>
              <w:rPr>
                <w:b/>
                <w:sz w:val="20"/>
                <w:szCs w:val="20"/>
              </w:rPr>
              <w:t>TRAVEL</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4FD70" w14:textId="77777777" w:rsidR="00A5008D" w:rsidRDefault="00A5008D">
            <w:pPr>
              <w:rPr>
                <w:sz w:val="20"/>
                <w:szCs w:val="20"/>
              </w:rPr>
            </w:pPr>
            <w:r>
              <w:rPr>
                <w:sz w:val="20"/>
                <w:szCs w:val="20"/>
              </w:rPr>
              <w:t xml:space="preserve">All travel needs are the responsibility of each player. </w:t>
            </w:r>
          </w:p>
          <w:p w14:paraId="3BC1D57A" w14:textId="0AAB5AFA" w:rsidR="00A5008D" w:rsidRDefault="00A5008D">
            <w:pPr>
              <w:rPr>
                <w:b/>
                <w:i/>
                <w:sz w:val="20"/>
                <w:szCs w:val="20"/>
              </w:rPr>
            </w:pPr>
            <w:r>
              <w:rPr>
                <w:sz w:val="20"/>
                <w:szCs w:val="20"/>
              </w:rPr>
              <w:t xml:space="preserve">Please note that a special rate for car rental from </w:t>
            </w:r>
            <w:proofErr w:type="spellStart"/>
            <w:r>
              <w:rPr>
                <w:sz w:val="20"/>
                <w:szCs w:val="20"/>
              </w:rPr>
              <w:t>from</w:t>
            </w:r>
            <w:proofErr w:type="spellEnd"/>
            <w:r>
              <w:rPr>
                <w:sz w:val="20"/>
                <w:szCs w:val="20"/>
              </w:rPr>
              <w:t xml:space="preserve"> AVIS has been negotiated, which can be accessed here: </w:t>
            </w:r>
            <w:hyperlink r:id="rId9" w:history="1">
              <w:r>
                <w:rPr>
                  <w:rStyle w:val="Hyperlink"/>
                  <w:color w:val="1155CC"/>
                  <w:sz w:val="20"/>
                  <w:szCs w:val="20"/>
                </w:rPr>
                <w:t>AVIS</w:t>
              </w:r>
            </w:hyperlink>
          </w:p>
        </w:tc>
      </w:tr>
      <w:tr w:rsidR="00A5008D" w14:paraId="360C966E" w14:textId="77777777" w:rsidTr="5C881D11">
        <w:tc>
          <w:tcPr>
            <w:tcW w:w="243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D78660B" w14:textId="7704BBB8" w:rsidR="00A5008D" w:rsidRDefault="00A5008D">
            <w:pPr>
              <w:rPr>
                <w:b/>
                <w:sz w:val="20"/>
                <w:szCs w:val="20"/>
              </w:rPr>
            </w:pPr>
            <w:bookmarkStart w:id="0" w:name="_heading=h.v58pp38vgv28"/>
            <w:bookmarkEnd w:id="0"/>
            <w:r>
              <w:rPr>
                <w:b/>
                <w:sz w:val="20"/>
                <w:szCs w:val="20"/>
              </w:rPr>
              <w:t>SAFE SPORT</w:t>
            </w:r>
          </w:p>
        </w:tc>
        <w:tc>
          <w:tcPr>
            <w:tcW w:w="7110" w:type="dxa"/>
            <w:tcBorders>
              <w:top w:val="single" w:sz="4" w:space="0" w:color="000000" w:themeColor="text1"/>
              <w:left w:val="single" w:sz="4" w:space="0" w:color="000000" w:themeColor="text1"/>
              <w:bottom w:val="single" w:sz="4" w:space="0" w:color="auto"/>
              <w:right w:val="single" w:sz="4" w:space="0" w:color="000000" w:themeColor="text1"/>
            </w:tcBorders>
          </w:tcPr>
          <w:p w14:paraId="70C641BF" w14:textId="77777777" w:rsidR="00A5008D" w:rsidRDefault="00A5008D">
            <w:pPr>
              <w:rPr>
                <w:color w:val="323130"/>
                <w:sz w:val="20"/>
                <w:szCs w:val="20"/>
              </w:rPr>
            </w:pPr>
            <w:r>
              <w:rPr>
                <w:color w:val="323130"/>
                <w:sz w:val="20"/>
                <w:szCs w:val="20"/>
              </w:rPr>
              <w:t xml:space="preserve">Tennis Canada is committed to a safe and inclusive environment for everyone involved in tennis including young people, vulnerable persons, coaches, staff and volunteers. We believe that everyone is entitled to participate in an environment that is free of maltreatment, harassment, abuse and discrimination. </w:t>
            </w:r>
            <w:r>
              <w:rPr>
                <w:color w:val="353535"/>
                <w:sz w:val="20"/>
                <w:szCs w:val="20"/>
              </w:rPr>
              <w:t xml:space="preserve">Visit </w:t>
            </w:r>
            <w:hyperlink r:id="rId10" w:history="1">
              <w:r>
                <w:rPr>
                  <w:rStyle w:val="Hyperlink"/>
                  <w:color w:val="1155CC"/>
                  <w:sz w:val="20"/>
                  <w:szCs w:val="20"/>
                </w:rPr>
                <w:t>SAFESPORT</w:t>
              </w:r>
            </w:hyperlink>
            <w:r>
              <w:rPr>
                <w:color w:val="353535"/>
                <w:sz w:val="20"/>
                <w:szCs w:val="20"/>
              </w:rPr>
              <w:t xml:space="preserve"> for more information on what Tennis Canada is doing to safeguard our sport.</w:t>
            </w:r>
          </w:p>
          <w:p w14:paraId="00D53361" w14:textId="77777777" w:rsidR="00A5008D" w:rsidRDefault="00A5008D">
            <w:pPr>
              <w:rPr>
                <w:color w:val="353535"/>
                <w:sz w:val="20"/>
                <w:szCs w:val="20"/>
              </w:rPr>
            </w:pPr>
            <w:r>
              <w:rPr>
                <w:color w:val="323130"/>
                <w:sz w:val="20"/>
                <w:szCs w:val="20"/>
              </w:rPr>
              <w:t>Should you have safety concerns for yourself or others at this tournament, please contact the Tournament Director for guidance.</w:t>
            </w:r>
            <w:r>
              <w:rPr>
                <w:color w:val="353535"/>
                <w:sz w:val="20"/>
                <w:szCs w:val="20"/>
              </w:rPr>
              <w:t xml:space="preserve">  </w:t>
            </w:r>
          </w:p>
          <w:p w14:paraId="0E20AE70" w14:textId="77777777" w:rsidR="00A5008D" w:rsidRDefault="00A5008D">
            <w:pPr>
              <w:rPr>
                <w:color w:val="353535"/>
                <w:sz w:val="20"/>
                <w:szCs w:val="20"/>
              </w:rPr>
            </w:pPr>
            <w:r>
              <w:rPr>
                <w:b/>
                <w:color w:val="353535"/>
                <w:sz w:val="20"/>
                <w:szCs w:val="20"/>
              </w:rPr>
              <w:t>To report an issue</w:t>
            </w:r>
            <w:r>
              <w:rPr>
                <w:color w:val="353535"/>
                <w:sz w:val="20"/>
                <w:szCs w:val="20"/>
              </w:rPr>
              <w:t xml:space="preserve"> - Tennis Canada knows how important it is to provide a safe, secure, and independent way of reporting issues that are impacting an individual directly or that they have become aware of. Tennis Canada has enlisted the services of an Independent Third-Party company called Whistleblower Security. To report a concern, please contact their 24/7/365 bilingual hotline at 1-866-921-6714. Additionally, you may get in touch with the Independent Third-Party organization Integrity Counts at their </w:t>
            </w:r>
            <w:r>
              <w:rPr>
                <w:color w:val="0000FF"/>
                <w:sz w:val="20"/>
                <w:szCs w:val="20"/>
              </w:rPr>
              <w:t>email address</w:t>
            </w:r>
            <w:r>
              <w:rPr>
                <w:color w:val="353535"/>
                <w:sz w:val="20"/>
                <w:szCs w:val="20"/>
              </w:rPr>
              <w:t xml:space="preserve"> or via their </w:t>
            </w:r>
            <w:hyperlink r:id="rId11" w:history="1">
              <w:r>
                <w:rPr>
                  <w:rStyle w:val="Hyperlink"/>
                  <w:color w:val="0000FF"/>
                  <w:sz w:val="20"/>
                  <w:szCs w:val="20"/>
                </w:rPr>
                <w:t>website</w:t>
              </w:r>
            </w:hyperlink>
            <w:r>
              <w:rPr>
                <w:color w:val="353535"/>
                <w:sz w:val="20"/>
                <w:szCs w:val="20"/>
              </w:rPr>
              <w:t xml:space="preserve">. </w:t>
            </w:r>
          </w:p>
          <w:p w14:paraId="16D0B9E3" w14:textId="77777777" w:rsidR="00A5008D" w:rsidRDefault="00A5008D">
            <w:pPr>
              <w:rPr>
                <w:color w:val="323130"/>
                <w:sz w:val="20"/>
                <w:szCs w:val="20"/>
              </w:rPr>
            </w:pPr>
            <w:r>
              <w:rPr>
                <w:color w:val="323130"/>
                <w:sz w:val="20"/>
                <w:szCs w:val="20"/>
              </w:rPr>
              <w:t xml:space="preserve"> </w:t>
            </w:r>
          </w:p>
          <w:p w14:paraId="57B0D5F2" w14:textId="41F407F0" w:rsidR="00A5008D" w:rsidRPr="00A5008D" w:rsidRDefault="00A5008D">
            <w:pPr>
              <w:rPr>
                <w:color w:val="323130"/>
                <w:sz w:val="20"/>
                <w:szCs w:val="20"/>
              </w:rPr>
            </w:pPr>
            <w:r>
              <w:rPr>
                <w:i/>
                <w:color w:val="353535"/>
                <w:sz w:val="20"/>
                <w:szCs w:val="20"/>
              </w:rPr>
              <w:t xml:space="preserve">If you feel at risk of immediate harm, call 9-1-1. If you are in need of support and don’t know where to turn, the organizations indicated in the link below may be able to provide you with guidance - </w:t>
            </w:r>
            <w:hyperlink r:id="rId12" w:history="1">
              <w:r>
                <w:rPr>
                  <w:rStyle w:val="Hyperlink"/>
                  <w:color w:val="0000FF"/>
                  <w:sz w:val="20"/>
                  <w:szCs w:val="20"/>
                </w:rPr>
                <w:t>SAFE SPORT RESOURCES</w:t>
              </w:r>
            </w:hyperlink>
            <w:r>
              <w:rPr>
                <w:color w:val="323130"/>
                <w:sz w:val="20"/>
                <w:szCs w:val="20"/>
              </w:rPr>
              <w:t xml:space="preserve"> </w:t>
            </w:r>
          </w:p>
        </w:tc>
      </w:tr>
    </w:tbl>
    <w:p w14:paraId="6205CCC9" w14:textId="77777777" w:rsidR="00093566" w:rsidRDefault="00093566"/>
    <w:sectPr w:rsidR="00093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81D70"/>
    <w:multiLevelType w:val="multilevel"/>
    <w:tmpl w:val="30C8B5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7A183C60"/>
    <w:multiLevelType w:val="multilevel"/>
    <w:tmpl w:val="FF7031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7FAD53EE"/>
    <w:multiLevelType w:val="multilevel"/>
    <w:tmpl w:val="45FE9548"/>
    <w:lvl w:ilvl="0">
      <w:start w:val="1"/>
      <w:numFmt w:val="decimal"/>
      <w:lvlText w:val="%1."/>
      <w:lvlJc w:val="left"/>
      <w:pPr>
        <w:ind w:left="720" w:hanging="360"/>
      </w:pPr>
      <w:rPr>
        <w:rFonts w:ascii="Calibri" w:eastAsia="Calibri" w:hAnsi="Calibri" w:cs="Calibri"/>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0194087">
    <w:abstractNumId w:val="1"/>
  </w:num>
  <w:num w:numId="2" w16cid:durableId="1340157062">
    <w:abstractNumId w:val="0"/>
  </w:num>
  <w:num w:numId="3" w16cid:durableId="1650401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8D"/>
    <w:rsid w:val="00093566"/>
    <w:rsid w:val="00265720"/>
    <w:rsid w:val="004E4ABC"/>
    <w:rsid w:val="00535F39"/>
    <w:rsid w:val="00563615"/>
    <w:rsid w:val="0056778D"/>
    <w:rsid w:val="00684AAD"/>
    <w:rsid w:val="007F0D41"/>
    <w:rsid w:val="00A5008D"/>
    <w:rsid w:val="00B7404F"/>
    <w:rsid w:val="00D724E3"/>
    <w:rsid w:val="00E557FC"/>
    <w:rsid w:val="00F95910"/>
    <w:rsid w:val="00FE5FC6"/>
    <w:rsid w:val="140329B3"/>
    <w:rsid w:val="316DFAA2"/>
    <w:rsid w:val="37E4721B"/>
    <w:rsid w:val="4B7E3654"/>
    <w:rsid w:val="5C881D11"/>
    <w:rsid w:val="7C6BB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C788"/>
  <w15:chartTrackingRefBased/>
  <w15:docId w15:val="{113F1362-E2E9-4B8A-BC7D-C29BB220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8D"/>
    <w:pPr>
      <w:spacing w:after="200" w:line="276" w:lineRule="auto"/>
    </w:pPr>
    <w:rPr>
      <w:rFonts w:ascii="Calibri" w:eastAsia="Calibri" w:hAnsi="Calibri" w:cs="Calibri"/>
      <w:kern w:val="0"/>
      <w:lang w:val="en-CA"/>
      <w14:ligatures w14:val="none"/>
    </w:rPr>
  </w:style>
  <w:style w:type="paragraph" w:styleId="Heading1">
    <w:name w:val="heading 1"/>
    <w:basedOn w:val="Normal"/>
    <w:next w:val="Normal"/>
    <w:link w:val="Heading1Char"/>
    <w:uiPriority w:val="9"/>
    <w:qFormat/>
    <w:rsid w:val="00567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7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7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7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7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7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7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7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7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7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7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78D"/>
    <w:rPr>
      <w:rFonts w:eastAsiaTheme="majorEastAsia" w:cstheme="majorBidi"/>
      <w:color w:val="272727" w:themeColor="text1" w:themeTint="D8"/>
    </w:rPr>
  </w:style>
  <w:style w:type="paragraph" w:styleId="Title">
    <w:name w:val="Title"/>
    <w:basedOn w:val="Normal"/>
    <w:next w:val="Normal"/>
    <w:link w:val="TitleChar"/>
    <w:uiPriority w:val="10"/>
    <w:qFormat/>
    <w:rsid w:val="00567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78D"/>
    <w:pPr>
      <w:spacing w:before="160"/>
      <w:jc w:val="center"/>
    </w:pPr>
    <w:rPr>
      <w:i/>
      <w:iCs/>
      <w:color w:val="404040" w:themeColor="text1" w:themeTint="BF"/>
    </w:rPr>
  </w:style>
  <w:style w:type="character" w:customStyle="1" w:styleId="QuoteChar">
    <w:name w:val="Quote Char"/>
    <w:basedOn w:val="DefaultParagraphFont"/>
    <w:link w:val="Quote"/>
    <w:uiPriority w:val="29"/>
    <w:rsid w:val="0056778D"/>
    <w:rPr>
      <w:i/>
      <w:iCs/>
      <w:color w:val="404040" w:themeColor="text1" w:themeTint="BF"/>
    </w:rPr>
  </w:style>
  <w:style w:type="paragraph" w:styleId="ListParagraph">
    <w:name w:val="List Paragraph"/>
    <w:basedOn w:val="Normal"/>
    <w:uiPriority w:val="34"/>
    <w:qFormat/>
    <w:rsid w:val="0056778D"/>
    <w:pPr>
      <w:ind w:left="720"/>
      <w:contextualSpacing/>
    </w:pPr>
  </w:style>
  <w:style w:type="character" w:styleId="IntenseEmphasis">
    <w:name w:val="Intense Emphasis"/>
    <w:basedOn w:val="DefaultParagraphFont"/>
    <w:uiPriority w:val="21"/>
    <w:qFormat/>
    <w:rsid w:val="0056778D"/>
    <w:rPr>
      <w:i/>
      <w:iCs/>
      <w:color w:val="2F5496" w:themeColor="accent1" w:themeShade="BF"/>
    </w:rPr>
  </w:style>
  <w:style w:type="paragraph" w:styleId="IntenseQuote">
    <w:name w:val="Intense Quote"/>
    <w:basedOn w:val="Normal"/>
    <w:next w:val="Normal"/>
    <w:link w:val="IntenseQuoteChar"/>
    <w:uiPriority w:val="30"/>
    <w:qFormat/>
    <w:rsid w:val="00567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778D"/>
    <w:rPr>
      <w:i/>
      <w:iCs/>
      <w:color w:val="2F5496" w:themeColor="accent1" w:themeShade="BF"/>
    </w:rPr>
  </w:style>
  <w:style w:type="character" w:styleId="IntenseReference">
    <w:name w:val="Intense Reference"/>
    <w:basedOn w:val="DefaultParagraphFont"/>
    <w:uiPriority w:val="32"/>
    <w:qFormat/>
    <w:rsid w:val="0056778D"/>
    <w:rPr>
      <w:b/>
      <w:bCs/>
      <w:smallCaps/>
      <w:color w:val="2F5496" w:themeColor="accent1" w:themeShade="BF"/>
      <w:spacing w:val="5"/>
    </w:rPr>
  </w:style>
  <w:style w:type="character" w:styleId="Hyperlink">
    <w:name w:val="Hyperlink"/>
    <w:basedOn w:val="DefaultParagraphFont"/>
    <w:uiPriority w:val="99"/>
    <w:unhideWhenUsed/>
    <w:rsid w:val="0056778D"/>
    <w:rPr>
      <w:color w:val="0563C1" w:themeColor="hyperlink"/>
      <w:u w:val="single"/>
    </w:rPr>
  </w:style>
  <w:style w:type="character" w:styleId="FollowedHyperlink">
    <w:name w:val="FollowedHyperlink"/>
    <w:basedOn w:val="DefaultParagraphFont"/>
    <w:uiPriority w:val="99"/>
    <w:semiHidden/>
    <w:unhideWhenUsed/>
    <w:rsid w:val="00A5008D"/>
    <w:rPr>
      <w:color w:val="954F72" w:themeColor="followedHyperlink"/>
      <w:u w:val="single"/>
    </w:rPr>
  </w:style>
  <w:style w:type="character" w:styleId="UnresolvedMention">
    <w:name w:val="Unresolved Mention"/>
    <w:basedOn w:val="DefaultParagraphFont"/>
    <w:uiPriority w:val="99"/>
    <w:semiHidden/>
    <w:unhideWhenUsed/>
    <w:rsid w:val="00F9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niscanada-my.sharepoint.com/personal/arolemberg_tenniscanada_com/_layouts/15/onedrive.aspx?id=%2Fpersonal%2Farolemberg%5Ftenniscanada%5Fcom%2FDocuments%2F2022%2FTennis%20Canada%20admin%20and%20documents%2FRULES%20OF%20THE%20COURT%202022%2Epdf&amp;parent=%2Fpersonal%2Farolemberg%5Ftenniscanada%5Fcom%2FDocuments%2F2022%2FTennis%20Canada%20admin%20and%20documents&amp;ga=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nnisbc.org/tournaments/2025-national-bank-stanley-park-open-national-junior-open-series-u12-u14-tbc-u16-junior-open/" TargetMode="External"/><Relationship Id="rId12" Type="http://schemas.openxmlformats.org/officeDocument/2006/relationships/hyperlink" Target="https://can01.safelinks.protection.outlook.com/?url=https%3A%2F%2Fwww.tenniscanada.com%2Fsafe-sport%2F&amp;data=05%7C01%7Cmdavies%40tenniscanada.com%7C6a10aac2f2b14f7c92b408da53b64d5e%7Ccf1ac31edead4166bda1397774889855%7C0%7C0%7C637914339696672058%7CUnknown%7CTWFpbGZsb3d8eyJWIjoiMC4wLjAwMDAiLCJQIjoiV2luMzIiLCJBTiI6Ik1haWwiLCJXVCI6Mn0%3D%7C3000%7C%7C%7C&amp;sdata=ufwWbKyddpVNjzqyj%2FuztPHyikKl5ZSCcWmqxM9V1X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nnisbc.org/tournaments/94th-national-bank-stanley-park-open-national-junior-open-series-u12-u14-tbc-u16-junior-open/" TargetMode="External"/><Relationship Id="rId11" Type="http://schemas.openxmlformats.org/officeDocument/2006/relationships/hyperlink" Target="https://can01.safelinks.protection.outlook.com/?url=https%3A%2F%2Fwww.integritycounts.ca%2Forg%2Ftenniscanada&amp;data=05%7C01%7Cmdavies%40tenniscanada.com%7C6a10aac2f2b14f7c92b408da53b64d5e%7Ccf1ac31edead4166bda1397774889855%7C0%7C0%7C637914339696672058%7CUnknown%7CTWFpbGZsb3d8eyJWIjoiMC4wLjAwMDAiLCJQIjoiV2luMzIiLCJBTiI6Ik1haWwiLCJXVCI6Mn0%3D%7C3000%7C%7C%7C&amp;sdata=OdyZWVoXe6SF7WoUQaCW5QoF8VkhMjvQyChvqRS3S9o%3D&amp;reserved=0" TargetMode="External"/><Relationship Id="rId5" Type="http://schemas.openxmlformats.org/officeDocument/2006/relationships/image" Target="media/image1.png"/><Relationship Id="rId10" Type="http://schemas.openxmlformats.org/officeDocument/2006/relationships/hyperlink" Target="https://www.tenniscanada.com/safe-sport/" TargetMode="External"/><Relationship Id="rId4" Type="http://schemas.openxmlformats.org/officeDocument/2006/relationships/webSettings" Target="webSettings.xml"/><Relationship Id="rId9" Type="http://schemas.openxmlformats.org/officeDocument/2006/relationships/hyperlink" Target="https://www.avis.com/en/association/R0362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Iverson Guan</dc:creator>
  <cp:keywords/>
  <dc:description/>
  <cp:lastModifiedBy>Iverson Guan</cp:lastModifiedBy>
  <cp:revision>9</cp:revision>
  <dcterms:created xsi:type="dcterms:W3CDTF">2024-04-22T18:41:00Z</dcterms:created>
  <dcterms:modified xsi:type="dcterms:W3CDTF">2026-05-04T15:52:00Z</dcterms:modified>
</cp:coreProperties>
</file>